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Anforderungen an Handwerker und Fachbetriebe für Holzrahmenbau</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versus Massivbau: Wann lohnt sich die Wahl?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rahmenbauberlin.de/index.html" TargetMode="External"/><Relationship Id="rId10" Type="http://schemas.openxmlformats.org/officeDocument/2006/relationships/hyperlink" Target="https://gcs.holzrahmenbauberlin.de/paket-65d3874d1b8941ae8da8067650f33e55/holzrahmenbau-versus-massivbau-wann-lohnt-sich-die-wahl-2c605c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